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C166" w14:textId="503B14E1" w:rsidR="003051F2" w:rsidRPr="002A3D25" w:rsidRDefault="003051F2" w:rsidP="008F47F3">
      <w:pPr>
        <w:bidi/>
        <w:spacing w:before="100" w:beforeAutospacing="1" w:after="100" w:afterAutospacing="1" w:line="240" w:lineRule="auto"/>
        <w:jc w:val="center"/>
        <w:outlineLvl w:val="0"/>
        <w:rPr>
          <w:rFonts w:ascii="IRANYekan" w:eastAsia="Times New Roman" w:hAnsi="IRANYekan" w:cs="IRANYekan"/>
          <w:b/>
          <w:bCs/>
          <w:kern w:val="36"/>
          <w:sz w:val="32"/>
          <w:szCs w:val="32"/>
          <w:rtl/>
        </w:rPr>
      </w:pPr>
      <w:r w:rsidRPr="002A3D25">
        <w:rPr>
          <w:rFonts w:ascii="IRANYekan" w:eastAsia="Times New Roman" w:hAnsi="IRANYekan" w:cs="IRANYekan"/>
          <w:b/>
          <w:bCs/>
          <w:kern w:val="36"/>
          <w:sz w:val="32"/>
          <w:szCs w:val="32"/>
          <w:rtl/>
        </w:rPr>
        <w:t>پرسشنامه رغبت سنج تحصیلی و شغلی استرانگ 290 آیتم</w:t>
      </w:r>
    </w:p>
    <w:p w14:paraId="2D9B5387" w14:textId="37163E0A" w:rsidR="003051F2" w:rsidRPr="002A3D25" w:rsidRDefault="003051F2" w:rsidP="008F47F3">
      <w:pPr>
        <w:bidi/>
        <w:spacing w:before="100" w:beforeAutospacing="1" w:after="100" w:afterAutospacing="1" w:line="240" w:lineRule="auto"/>
        <w:outlineLvl w:val="0"/>
        <w:rPr>
          <w:rFonts w:ascii="IRANYekan" w:eastAsia="Times New Roman" w:hAnsi="IRANYekan" w:cs="IRANYekan"/>
          <w:kern w:val="36"/>
          <w:sz w:val="32"/>
          <w:szCs w:val="32"/>
        </w:rPr>
      </w:pP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پرسشنامه رغبت سنج استرانگ به شما در فهم رغبت ها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شغل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تان کمک نموده  و انواع مشاغل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که احتمالاً در آنها احساس راحت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م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کن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د را به شما نشان م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دهد. در صفحات پ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ش رو مشاغل، فعال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ت ها، زم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نه ها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موضوع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و ... فهرست بند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شده است که شما با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د م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زان علاقمند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، 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ا عدم علاقمند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خود را در قبال آن مشخص ساز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د. استرانگ آزمون توانمند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ن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>ست بلکه پرسشنامه ا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در خصوص رغبت ها</w:t>
      </w:r>
      <w:r w:rsidR="00A8781A">
        <w:rPr>
          <w:rFonts w:ascii="IRANYekan" w:eastAsia="Times New Roman" w:hAnsi="IRANYekan" w:cs="IRANYekan"/>
          <w:kern w:val="36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 شماست</w:t>
      </w:r>
      <w:r w:rsidRPr="002A3D25">
        <w:rPr>
          <w:rFonts w:ascii="IRANYekan" w:eastAsia="Times New Roman" w:hAnsi="IRANYekan" w:cs="IRANYekan"/>
          <w:kern w:val="36"/>
          <w:sz w:val="32"/>
          <w:szCs w:val="32"/>
        </w:rPr>
        <w:t>.</w:t>
      </w:r>
    </w:p>
    <w:p w14:paraId="3AE0240E" w14:textId="77777777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</w:p>
    <w:p w14:paraId="43D407E6" w14:textId="77777777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مشخصات آزمون</w:t>
      </w:r>
      <w:r w:rsidRPr="002A3D25">
        <w:rPr>
          <w:rFonts w:ascii="IRANYekan" w:eastAsia="Times New Roman" w:hAnsi="IRANYekan" w:cs="IRANYekan"/>
          <w:sz w:val="32"/>
          <w:szCs w:val="32"/>
        </w:rPr>
        <w:t>:</w:t>
      </w:r>
    </w:p>
    <w:p w14:paraId="383FE217" w14:textId="174F19E3" w:rsidR="003051F2" w:rsidRPr="002A3D25" w:rsidRDefault="003051F2" w:rsidP="00CF114A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فرم فارس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پرسشنامه استرانگ (حق شناس،1385) که ترجمه پرسشنامه استرانگ 2004 است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دارا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="00CF114A" w:rsidRPr="002A3D25">
        <w:rPr>
          <w:rFonts w:ascii="IRANYekan" w:eastAsia="Times New Roman" w:hAnsi="IRANYekan" w:cs="IRANYekan"/>
          <w:sz w:val="32"/>
          <w:szCs w:val="32"/>
          <w:rtl/>
        </w:rPr>
        <w:t xml:space="preserve">290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ماده است كه در 6 قسمت مختلف سازمانده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شده‌اند. در تمام بخشها از فرد خواسته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‌شود كه متناسب با علاقه خود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ك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از گز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نه‌ها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« بس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ار علاقمندم</w:t>
      </w:r>
      <w:r w:rsidR="00CF114A" w:rsidRPr="002A3D25">
        <w:rPr>
          <w:rFonts w:ascii="IRANYekan" w:eastAsia="Times New Roman" w:hAnsi="IRANYekan" w:cs="IRANYekan"/>
          <w:sz w:val="32"/>
          <w:szCs w:val="32"/>
          <w:rtl/>
        </w:rPr>
        <w:t>»، «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علاقمندم»، «ب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تفاوت»، «علاقه مند 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ستم» و «اصلاً علاقمند 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ستم» را انتخاب كند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05D1568A" w14:textId="5F1EF1DF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نتا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ج مربوط به نمرات در چند سطح ارائه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‌شود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سطوح عبارتند از</w:t>
      </w:r>
      <w:r w:rsidRPr="002A3D25">
        <w:rPr>
          <w:rFonts w:ascii="IRANYekan" w:eastAsia="Times New Roman" w:hAnsi="IRANYekan" w:cs="IRANYekan"/>
          <w:sz w:val="32"/>
          <w:szCs w:val="32"/>
        </w:rPr>
        <w:t>:</w:t>
      </w:r>
    </w:p>
    <w:p w14:paraId="4AF198DD" w14:textId="2DEEEB9E" w:rsidR="003051F2" w:rsidRPr="002A3D25" w:rsidRDefault="003051F2" w:rsidP="008F47F3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موضوع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مشاغل</w:t>
      </w:r>
    </w:p>
    <w:p w14:paraId="6D03D032" w14:textId="3F2C9691" w:rsidR="003051F2" w:rsidRPr="002A3D25" w:rsidRDefault="003051F2" w:rsidP="00BC37C1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موضوع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منعكس كننده شش ت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پ هالند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‌باشد.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شش ت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پ عبارتند از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واقع گرا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، جستجوگر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،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هنر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، اجتماع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، متهور و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lastRenderedPageBreak/>
        <w:t>قرارداد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. نمرات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اسها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ك تصو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وس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ع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از رغبت</w:t>
      </w:r>
      <w:r w:rsidR="00CE4157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شغل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فرد ارائه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‌دهد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46570766" w14:textId="682E3673" w:rsidR="003051F2" w:rsidRPr="002A3D25" w:rsidRDefault="003051F2" w:rsidP="008F47F3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</w:p>
    <w:p w14:paraId="13C3AA00" w14:textId="228CCC98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در مقا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سه با موضوعها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شغل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به طور خاص 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به سنجش رغبت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شغل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‌پردازند.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های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 توجه به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زان انطباق با موضوع‌ها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سازمانده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شده‌اند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545D8296" w14:textId="0E91B664" w:rsidR="003051F2" w:rsidRPr="002A3D25" w:rsidRDefault="003051F2" w:rsidP="008F47F3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سبك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</w:p>
    <w:p w14:paraId="2267A45D" w14:textId="106F9B3B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سبک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اندازه 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حات مربوط به سبک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زندگ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شغل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طراح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</w:p>
    <w:p w14:paraId="7D193E87" w14:textId="3AF2C5E4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شده اند. تفاوت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سبک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استرانگ با سا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استرانگ دارند آن است که تحت عنوان دوقطب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بودن تب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شده اند. پنج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سبک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استرانگ عبارتند از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:</w:t>
      </w:r>
    </w:p>
    <w:p w14:paraId="4C80AA77" w14:textId="2B3DD726" w:rsidR="003051F2" w:rsidRPr="002A3D25" w:rsidRDefault="003051F2" w:rsidP="008F47F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سبك كار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( قطب کار با افراد در مقابل قطب کار با اش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اء و قطب کار با داده ها در مقابل کار با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ده ها</w:t>
      </w:r>
      <w:r w:rsidR="008F47F3"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كه نمره بالا (نمره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T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بالاتر</w:t>
      </w:r>
      <w:r w:rsidR="00CE4157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از 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50)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در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رند افراد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هستند كه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‌دهند با افراد كار كنند تا به صورت انفراد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همچن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 می دهند با عقا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د کار کنند تا داده ها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7F1886F2" w14:textId="5C8EC2D8" w:rsidR="003051F2" w:rsidRPr="002A3D25" w:rsidRDefault="003051F2" w:rsidP="008F47F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مح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ط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ادگ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( قطب آکادم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ک در برابر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قطب عمل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):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نمره بالا (نمره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T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بالاتر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از 50) در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اس، رغبت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فرهنگ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- هنر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- کلام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فعال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آموزش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جستجوگر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را منعكس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‌كند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6AFDEB72" w14:textId="3CA2CCDE" w:rsidR="003051F2" w:rsidRPr="002A3D25" w:rsidRDefault="003051F2" w:rsidP="008F47F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lastRenderedPageBreak/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سبك رهبر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( قطب هدا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گران در مقابل هدا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از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سو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سرمشق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):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نمره بالا (نمره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T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بالاتر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از 50) در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اس، منعكس كننده‌‌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است كه فرد علاقه به رهبر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مد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گران دارد تا هدا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شدن از سو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گران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2A3E663B" w14:textId="6A5792AC" w:rsidR="003051F2" w:rsidRPr="002A3D25" w:rsidRDefault="003051F2" w:rsidP="008F47F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سك پذ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( قطب شانس در برابر قطب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من</w:t>
      </w:r>
      <w:r w:rsidR="008F47F3"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):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در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نمره بالا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>(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نمره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T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بالاتر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از 50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>)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رند فعال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ت‌ها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پرخطر و ب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پروا را نسبت به فعال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من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دهند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36E4BBFA" w14:textId="31AA38F3" w:rsidR="003051F2" w:rsidRPr="002A3D25" w:rsidRDefault="003051F2" w:rsidP="008F47F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جهت 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گروه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قطب کار به صورت گروه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در برابر قطب کار به صورت انفراد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: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در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نمره بالا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>(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نمره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T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بالاتر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از 50 )م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رند فعال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گروهی را نسبت به فعال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انفراد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دهند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.</w:t>
      </w:r>
    </w:p>
    <w:p w14:paraId="000C37CC" w14:textId="77777777" w:rsidR="008F47F3" w:rsidRPr="002A3D25" w:rsidRDefault="008F47F3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  <w:rtl/>
        </w:rPr>
      </w:pPr>
    </w:p>
    <w:p w14:paraId="6FC535A5" w14:textId="70D738AF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از پرسشنامه استرانگ چه اطلاعات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افت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م؟</w:t>
      </w:r>
    </w:p>
    <w:p w14:paraId="7BA7DF0B" w14:textId="6B3CD7EA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پس از نمره گذار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پرسشنامه استرانگ و مشخص شدن نمره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، الگو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 توجه به بالاتر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نمره فرد در دو مجموعه از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استرانگ تع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7224AA65" w14:textId="0796218F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کد موضوع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: به منظور تع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کد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موضوع</w:t>
      </w:r>
      <w:r w:rsidR="00BC37C1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، حرف اول موضوع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فرد در آن بالاتر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نمره را گرفته است در نظرگرفته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</w:t>
      </w:r>
      <w:r w:rsidR="00CE4157">
        <w:rPr>
          <w:rFonts w:ascii="IRANYekan" w:eastAsia="Times New Roman" w:hAnsi="IRANYekan" w:cs="IRANYekan" w:hint="cs"/>
          <w:sz w:val="32"/>
          <w:szCs w:val="32"/>
          <w:rtl/>
        </w:rPr>
        <w:t>.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که چند حرف به کد مربوطه افزوده شود (که برحسب توافق کل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حداکثر سه حرف است) به قضاوت مشاور شغل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lastRenderedPageBreak/>
        <w:t>بستگ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دارد</w:t>
      </w:r>
      <w:r w:rsidR="00CE4157">
        <w:rPr>
          <w:rFonts w:ascii="IRANYekan" w:eastAsia="Times New Roman" w:hAnsi="IRANYekan" w:cs="IRANYekan" w:hint="cs"/>
          <w:sz w:val="32"/>
          <w:szCs w:val="32"/>
          <w:rtl/>
        </w:rPr>
        <w:t xml:space="preserve">.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به عنوان مثال چنانچه بالاتر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نمره فرد در موضوع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واقع گرا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- قرارداد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- جستجوگر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باشد کد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 سه حرف" و ق ج" مشخص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03A9D935" w14:textId="77777777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</w:p>
    <w:p w14:paraId="25FE8B1D" w14:textId="066E23A9" w:rsidR="003051F2" w:rsidRPr="002A3D25" w:rsidRDefault="003051F2" w:rsidP="008F47F3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  <w:rtl/>
        </w:rPr>
        <w:t>کد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: از آنجا که استرانگ دارا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30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است اما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در 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مرخ فرد صرفا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>ً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5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در آنها ب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شتر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نمرا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>ت را احراز نموده است مشخص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شود.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CE4157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که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در آنها دارا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بس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ار بالا و بالا بوده است،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معمولاً در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ک، دو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 سه موضوع کل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دسته بند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شود. به عنوان مثال اگر دو مورد از پنج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كه در آنها فرد بالاتر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ن نمره را كسب كرده مربوط به موضوع واقع گرا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دو مورد مربوط به موضوع قراردار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ك مورد مربوط به موضوع جستجوگر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باشد، كد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8F47F3" w:rsidRPr="002A3D25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اصل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به صورت "و ق ج " خواهد بود</w:t>
      </w:r>
      <w:r w:rsidRPr="002A3D25">
        <w:rPr>
          <w:rFonts w:ascii="IRANYekan" w:eastAsia="Times New Roman" w:hAnsi="IRANYekan" w:cs="IRANYekan"/>
          <w:sz w:val="32"/>
          <w:szCs w:val="32"/>
        </w:rPr>
        <w:t xml:space="preserve"> .</w:t>
      </w:r>
    </w:p>
    <w:p w14:paraId="184AAC68" w14:textId="5B4C1259" w:rsidR="001778CF" w:rsidRPr="002A3D25" w:rsidRDefault="003051F2" w:rsidP="002A3D25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sz w:val="32"/>
          <w:szCs w:val="32"/>
        </w:rPr>
      </w:pPr>
      <w:r w:rsidRPr="002A3D25">
        <w:rPr>
          <w:rFonts w:ascii="IRANYekan" w:eastAsia="Times New Roman" w:hAnsi="IRANYekan" w:cs="IRANYekan"/>
          <w:sz w:val="32"/>
          <w:szCs w:val="32"/>
        </w:rPr>
        <w:t> 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سبك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: در مورد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2A3D25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سبك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از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به ارائه كد 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ست. تنها الگو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رغبت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در هر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ك از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</w:t>
      </w:r>
      <w:r w:rsidR="00A8781A">
        <w:rPr>
          <w:rFonts w:ascii="IRANYekan" w:eastAsia="Times New Roman" w:hAnsi="IRANYekan" w:cs="IRANYekan" w:hint="cs"/>
          <w:sz w:val="32"/>
          <w:szCs w:val="32"/>
          <w:rtl/>
        </w:rPr>
        <w:t xml:space="preserve"> 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ها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سبك فرد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شرح داده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شود. به عنوان مثال در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سبک کار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 توجه به نمره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مشخص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 که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کار با افراد را ترج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ح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دهد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 با اش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اء و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 در مق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اس سبک رهبر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با توجه به نمره آزمودن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مشخص م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کن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م که فرد تما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ل به رهبر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 و هدا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ت د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 xml:space="preserve">گران دارد </w:t>
      </w:r>
      <w:r w:rsidR="00A8781A">
        <w:rPr>
          <w:rFonts w:ascii="IRANYekan" w:eastAsia="Times New Roman" w:hAnsi="IRANYekan" w:cs="IRANYekan"/>
          <w:sz w:val="32"/>
          <w:szCs w:val="32"/>
          <w:rtl/>
        </w:rPr>
        <w:t>ی</w:t>
      </w:r>
      <w:r w:rsidRPr="002A3D25">
        <w:rPr>
          <w:rFonts w:ascii="IRANYekan" w:eastAsia="Times New Roman" w:hAnsi="IRANYekan" w:cs="IRANYekan"/>
          <w:sz w:val="32"/>
          <w:szCs w:val="32"/>
          <w:rtl/>
        </w:rPr>
        <w:t>ا نه</w:t>
      </w:r>
      <w:r w:rsidRPr="002A3D25">
        <w:rPr>
          <w:rFonts w:ascii="IRANYekan" w:eastAsia="Times New Roman" w:hAnsi="IRANYekan" w:cs="IRANYekan"/>
          <w:sz w:val="32"/>
          <w:szCs w:val="32"/>
        </w:rPr>
        <w:t>.</w:t>
      </w:r>
    </w:p>
    <w:p w14:paraId="03C4D286" w14:textId="77777777" w:rsidR="00DA6E19" w:rsidRPr="002A3D25" w:rsidRDefault="00B34478" w:rsidP="008F47F3">
      <w:pPr>
        <w:bidi/>
        <w:spacing w:line="240" w:lineRule="auto"/>
        <w:rPr>
          <w:rFonts w:ascii="IRANYekan" w:hAnsi="IRANYekan" w:cs="IRANYekan"/>
          <w:sz w:val="32"/>
          <w:szCs w:val="32"/>
        </w:rPr>
      </w:pPr>
    </w:p>
    <w:sectPr w:rsidR="00DA6E19" w:rsidRPr="002A3D25" w:rsidSect="002A3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A478" w14:textId="77777777" w:rsidR="00B34478" w:rsidRDefault="00B34478" w:rsidP="00CE4157">
      <w:pPr>
        <w:spacing w:after="0" w:line="240" w:lineRule="auto"/>
      </w:pPr>
      <w:r>
        <w:separator/>
      </w:r>
    </w:p>
  </w:endnote>
  <w:endnote w:type="continuationSeparator" w:id="0">
    <w:p w14:paraId="6108FA6B" w14:textId="77777777" w:rsidR="00B34478" w:rsidRDefault="00B34478" w:rsidP="00C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120" w14:textId="77777777" w:rsidR="00CE4157" w:rsidRDefault="00CE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A6F8" w14:textId="77777777" w:rsidR="00CE4157" w:rsidRDefault="00CE4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741" w14:textId="77777777" w:rsidR="00CE4157" w:rsidRDefault="00CE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E04D" w14:textId="77777777" w:rsidR="00B34478" w:rsidRDefault="00B34478" w:rsidP="00CE4157">
      <w:pPr>
        <w:spacing w:after="0" w:line="240" w:lineRule="auto"/>
      </w:pPr>
      <w:r>
        <w:separator/>
      </w:r>
    </w:p>
  </w:footnote>
  <w:footnote w:type="continuationSeparator" w:id="0">
    <w:p w14:paraId="109BD95B" w14:textId="77777777" w:rsidR="00B34478" w:rsidRDefault="00B34478" w:rsidP="00CE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BA6C" w14:textId="58139C15" w:rsidR="00CE4157" w:rsidRDefault="00B34478">
    <w:pPr>
      <w:pStyle w:val="Header"/>
    </w:pPr>
    <w:r>
      <w:rPr>
        <w:noProof/>
      </w:rPr>
      <w:pict w14:anchorId="0357C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9626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8CD5" w14:textId="589E7218" w:rsidR="00CE4157" w:rsidRDefault="00B34478">
    <w:pPr>
      <w:pStyle w:val="Header"/>
    </w:pPr>
    <w:r>
      <w:rPr>
        <w:noProof/>
      </w:rPr>
      <w:pict w14:anchorId="518BF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9627" o:spid="_x0000_s2054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AC3" w14:textId="6DA5800A" w:rsidR="00CE4157" w:rsidRDefault="00B34478">
    <w:pPr>
      <w:pStyle w:val="Header"/>
    </w:pPr>
    <w:r>
      <w:rPr>
        <w:noProof/>
      </w:rPr>
      <w:pict w14:anchorId="012D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9625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B85"/>
    <w:multiLevelType w:val="hybridMultilevel"/>
    <w:tmpl w:val="C5A4BA8C"/>
    <w:lvl w:ilvl="0" w:tplc="3D6A5C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9D6131F"/>
    <w:multiLevelType w:val="hybridMultilevel"/>
    <w:tmpl w:val="BE520424"/>
    <w:lvl w:ilvl="0" w:tplc="9CF4BC3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F2"/>
    <w:rsid w:val="000D4D4A"/>
    <w:rsid w:val="001778CF"/>
    <w:rsid w:val="002A3D25"/>
    <w:rsid w:val="002B6729"/>
    <w:rsid w:val="003051F2"/>
    <w:rsid w:val="008F47F3"/>
    <w:rsid w:val="00A51FCA"/>
    <w:rsid w:val="00A52DFC"/>
    <w:rsid w:val="00A8781A"/>
    <w:rsid w:val="00B34478"/>
    <w:rsid w:val="00BC37C1"/>
    <w:rsid w:val="00C2437E"/>
    <w:rsid w:val="00CE4157"/>
    <w:rsid w:val="00CF114A"/>
    <w:rsid w:val="00FA27F5"/>
    <w:rsid w:val="00FC0BD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CBCFE4"/>
  <w15:docId w15:val="{73BCF08C-280C-4542-B35E-CCDE5E6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5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51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F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57"/>
  </w:style>
  <w:style w:type="paragraph" w:styleId="Footer">
    <w:name w:val="footer"/>
    <w:basedOn w:val="Normal"/>
    <w:link w:val="FooterChar"/>
    <w:uiPriority w:val="99"/>
    <w:unhideWhenUsed/>
    <w:rsid w:val="00CE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ali abdian</cp:lastModifiedBy>
  <cp:revision>13</cp:revision>
  <dcterms:created xsi:type="dcterms:W3CDTF">2016-10-23T21:20:00Z</dcterms:created>
  <dcterms:modified xsi:type="dcterms:W3CDTF">2021-05-27T20:58:00Z</dcterms:modified>
</cp:coreProperties>
</file>